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24"/>
          <w:szCs w:val="24"/>
        </w:rPr>
      </w:pPr>
      <w:r>
        <w:rPr>
          <w:rStyle w:val="14"/>
          <w:rFonts w:asciiTheme="minorEastAsia" w:hAnsiTheme="minorEastAsia"/>
          <w:b/>
          <w:sz w:val="24"/>
          <w:szCs w:val="24"/>
        </w:rPr>
        <w:t>生物制品批签发申请程序</w:t>
      </w:r>
    </w:p>
    <w:p>
      <w:pPr>
        <w:pStyle w:val="5"/>
        <w:shd w:val="clear" w:color="auto" w:fill="FFFFFF"/>
        <w:spacing w:before="225" w:beforeAutospacing="0" w:after="225" w:afterAutospacing="0" w:line="400" w:lineRule="atLeast"/>
        <w:ind w:firstLine="480" w:firstLineChars="200"/>
        <w:rPr>
          <w:rFonts w:hint="eastAsia" w:asciiTheme="minorEastAsia" w:hAnsiTheme="minorEastAsia"/>
          <w:color w:val="000000"/>
        </w:rPr>
      </w:pPr>
      <w:r>
        <w:rPr>
          <w:rFonts w:hint="eastAsia" w:asciiTheme="minorEastAsia" w:hAnsiTheme="minorEastAsia"/>
          <w:color w:val="000000"/>
        </w:rPr>
        <w:t>根据《生物制品批签发管理办法》（国家市场监督管理总局令第33号）规定，</w:t>
      </w:r>
      <w:r>
        <w:rPr>
          <w:rFonts w:hint="eastAsia" w:asciiTheme="minorEastAsia" w:hAnsiTheme="minorEastAsia"/>
        </w:rPr>
        <w:t>生物制品批签发是国家药品监督管理局对获</w:t>
      </w:r>
      <w:r>
        <w:rPr>
          <w:rFonts w:hint="eastAsia" w:asciiTheme="minorEastAsia" w:hAnsiTheme="minorEastAsia"/>
          <w:color w:val="000000"/>
        </w:rPr>
        <w:t>得上市许可的疫苗类制品、血液制品、用于血源筛查的体外诊断试剂以及国家药品监督管理局规定的其他生物制品，在每批产品上市销售前或者进口时，经指定的批签发机构进行审核、检验，对符合要求的发给批签发证明的活动。未通过批签发的产品，不得上市销售或进口。</w:t>
      </w:r>
      <w:r>
        <w:rPr>
          <w:color w:val="000000"/>
        </w:rPr>
        <w:t>依法经国家药品监督管理局批准免予批签发的产品除外。</w:t>
      </w:r>
    </w:p>
    <w:p>
      <w:pPr>
        <w:pStyle w:val="5"/>
        <w:shd w:val="clear" w:color="auto" w:fill="FFFFFF"/>
        <w:spacing w:before="225" w:beforeAutospacing="0" w:after="225" w:afterAutospacing="0" w:line="400" w:lineRule="atLeast"/>
        <w:ind w:firstLine="480" w:firstLineChars="200"/>
        <w:rPr>
          <w:rFonts w:hint="eastAsia" w:asciiTheme="minorEastAsia" w:hAnsiTheme="minorEastAsia"/>
          <w:color w:val="000000"/>
        </w:rPr>
      </w:pPr>
      <w:r>
        <w:rPr>
          <w:rFonts w:hint="eastAsia" w:asciiTheme="minorEastAsia" w:hAnsiTheme="minorEastAsia"/>
          <w:color w:val="000000"/>
        </w:rPr>
        <w:t>我院为国内生物制品批签发机构之一，特制定生物制品批签发申请程序。</w:t>
      </w:r>
    </w:p>
    <w:p>
      <w:pPr>
        <w:widowControl/>
        <w:shd w:val="clear" w:color="auto" w:fill="FFFFFF"/>
        <w:spacing w:line="360" w:lineRule="auto"/>
        <w:jc w:val="left"/>
        <w:textAlignment w:val="baseline"/>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一、批签发业务范围</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(一)疫苗批签发：负责独立签发由国家药品监督管理局授权的疫苗产品、中检院指定区域内企业疫苗产品的无菌及异常毒性等指定项目检验。</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w:t>
      </w:r>
      <w:r>
        <w:rPr>
          <w:rFonts w:hint="eastAsia" w:asciiTheme="minorEastAsia" w:hAnsiTheme="minorEastAsia"/>
          <w:sz w:val="24"/>
          <w:szCs w:val="24"/>
        </w:rPr>
        <w:t>血液制品批签发：</w:t>
      </w:r>
      <w:r>
        <w:rPr>
          <w:rFonts w:hint="eastAsia" w:cs="宋体" w:asciiTheme="minorEastAsia" w:hAnsiTheme="minorEastAsia"/>
          <w:color w:val="333333"/>
          <w:kern w:val="0"/>
          <w:sz w:val="24"/>
          <w:szCs w:val="24"/>
        </w:rPr>
        <w:t>独立签发指定区域（</w:t>
      </w:r>
      <w:r>
        <w:rPr>
          <w:rFonts w:hint="eastAsia" w:asciiTheme="minorEastAsia" w:hAnsiTheme="minorEastAsia"/>
          <w:sz w:val="24"/>
          <w:szCs w:val="24"/>
        </w:rPr>
        <w:t>湖北省、安徽省、湖南省和河南省</w:t>
      </w:r>
      <w:r>
        <w:rPr>
          <w:rFonts w:hint="eastAsia" w:cs="宋体" w:asciiTheme="minorEastAsia" w:hAnsiTheme="minorEastAsia"/>
          <w:color w:val="333333"/>
          <w:kern w:val="0"/>
          <w:sz w:val="24"/>
          <w:szCs w:val="24"/>
        </w:rPr>
        <w:t>）内企业的血液制品的人血白蛋白产品。</w:t>
      </w:r>
    </w:p>
    <w:p>
      <w:pPr>
        <w:widowControl/>
        <w:shd w:val="clear" w:color="auto" w:fill="FFFFFF"/>
        <w:spacing w:line="360" w:lineRule="auto"/>
        <w:jc w:val="left"/>
        <w:textAlignment w:val="baseline"/>
        <w:rPr>
          <w:rFonts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二、生物制品批签发流程及时限</w:t>
      </w:r>
    </w:p>
    <w:p>
      <w:pPr>
        <w:widowControl/>
        <w:shd w:val="clear" w:color="auto" w:fill="FFFFFF"/>
        <w:spacing w:line="360" w:lineRule="auto"/>
        <w:jc w:val="center"/>
        <w:textAlignment w:val="baseline"/>
        <w:rPr>
          <w:rFonts w:cs="宋体" w:asciiTheme="minorEastAsia" w:hAnsiTheme="minorEastAsia"/>
          <w:b/>
          <w:bCs/>
          <w:color w:val="333333"/>
          <w:kern w:val="0"/>
          <w:sz w:val="24"/>
          <w:szCs w:val="24"/>
        </w:rPr>
      </w:pPr>
      <w:r>
        <w:rPr>
          <w:rFonts w:cs="宋体" w:asciiTheme="minorEastAsia" w:hAnsiTheme="minorEastAsia"/>
          <w:b/>
          <w:bCs/>
          <w:color w:val="333333"/>
          <w:kern w:val="0"/>
          <w:sz w:val="24"/>
          <w:szCs w:val="24"/>
        </w:rPr>
        <w:drawing>
          <wp:inline distT="0" distB="0" distL="0" distR="0">
            <wp:extent cx="3767455" cy="5327650"/>
            <wp:effectExtent l="19050" t="0" r="3905" b="0"/>
            <wp:docPr id="3"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jpg"/>
                    <pic:cNvPicPr>
                      <a:picLocks noChangeAspect="1" noChangeArrowheads="1"/>
                    </pic:cNvPicPr>
                  </pic:nvPicPr>
                  <pic:blipFill>
                    <a:blip r:embed="rId4" cstate="print"/>
                    <a:srcRect/>
                    <a:stretch>
                      <a:fillRect/>
                    </a:stretch>
                  </pic:blipFill>
                  <pic:spPr>
                    <a:xfrm>
                      <a:off x="0" y="0"/>
                      <a:ext cx="3771637" cy="5332800"/>
                    </a:xfrm>
                    <a:prstGeom prst="rect">
                      <a:avLst/>
                    </a:prstGeom>
                    <a:noFill/>
                    <a:ln w="9525">
                      <a:noFill/>
                      <a:miter lim="800000"/>
                      <a:headEnd/>
                      <a:tailEnd/>
                    </a:ln>
                  </pic:spPr>
                </pic:pic>
              </a:graphicData>
            </a:graphic>
          </wp:inline>
        </w:drawing>
      </w:r>
    </w:p>
    <w:p>
      <w:pPr>
        <w:widowControl/>
        <w:shd w:val="clear" w:color="auto" w:fill="FFFFFF"/>
        <w:spacing w:line="360" w:lineRule="auto"/>
        <w:jc w:val="left"/>
        <w:textAlignment w:val="baseline"/>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三、申请批签发应提交的资料</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批签发申请人申请批签发时，应当提供以下证明性文件、资料及样品：</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（一）生物制品批签发申请表、生物制品批签发现场抽样记录表、生物制品批签发登记表；</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（二）药品批准证明文件；</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（三）合法生产的相关文件；</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（四）上市后变更的批准或者备案等</w:t>
      </w:r>
      <w:r>
        <w:rPr>
          <w:rFonts w:hint="eastAsia" w:asciiTheme="minorEastAsia" w:hAnsiTheme="minorEastAsia"/>
          <w:sz w:val="24"/>
          <w:szCs w:val="24"/>
        </w:rPr>
        <w:t>证明性文件</w:t>
      </w:r>
      <w:r>
        <w:rPr>
          <w:rFonts w:hint="eastAsia" w:cs="宋体" w:asciiTheme="minorEastAsia" w:hAnsiTheme="minorEastAsia"/>
          <w:color w:val="333333"/>
          <w:kern w:val="0"/>
          <w:sz w:val="24"/>
          <w:szCs w:val="24"/>
        </w:rPr>
        <w:t>；</w:t>
      </w:r>
    </w:p>
    <w:p>
      <w:pPr>
        <w:spacing w:line="360" w:lineRule="auto"/>
        <w:ind w:firstLine="480" w:firstLineChars="200"/>
        <w:rPr>
          <w:rFonts w:asciiTheme="minorEastAsia" w:hAnsiTheme="minorEastAsia"/>
          <w:sz w:val="24"/>
          <w:szCs w:val="24"/>
        </w:rPr>
      </w:pPr>
      <w:r>
        <w:rPr>
          <w:rFonts w:hint="eastAsia" w:cs="宋体" w:asciiTheme="minorEastAsia" w:hAnsiTheme="minorEastAsia"/>
          <w:color w:val="333333"/>
          <w:kern w:val="0"/>
          <w:sz w:val="24"/>
          <w:szCs w:val="24"/>
        </w:rPr>
        <w:t>（五）</w:t>
      </w:r>
      <w:r>
        <w:rPr>
          <w:rFonts w:hint="eastAsia" w:asciiTheme="minorEastAsia" w:hAnsiTheme="minorEastAsia"/>
          <w:sz w:val="24"/>
          <w:szCs w:val="24"/>
        </w:rPr>
        <w:t>药品生产企业</w:t>
      </w:r>
      <w:r>
        <w:rPr>
          <w:rFonts w:hint="eastAsia" w:cs="宋体" w:asciiTheme="minorEastAsia" w:hAnsiTheme="minorEastAsia"/>
          <w:color w:val="333333"/>
          <w:kern w:val="0"/>
          <w:sz w:val="24"/>
          <w:szCs w:val="24"/>
        </w:rPr>
        <w:t>质量受权人签字并加盖企业公章的批生产及</w:t>
      </w:r>
      <w:r>
        <w:rPr>
          <w:rFonts w:hint="eastAsia" w:asciiTheme="minorEastAsia" w:hAnsiTheme="minorEastAsia"/>
          <w:sz w:val="24"/>
          <w:szCs w:val="24"/>
        </w:rPr>
        <w:t>检定记录摘要或全套制检记录；</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（六）数量满足相应品种批签发检验要求的同批号产品，必要时提供与检验相关的中间产品、标准物质、试剂等材料；</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（七）生产管理负责人、质量管理负责人、质量受权人等关键人员变动情况的说明；</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（八）与产品质量相关的其他资料。</w:t>
      </w:r>
    </w:p>
    <w:p>
      <w:pPr>
        <w:spacing w:line="360" w:lineRule="auto"/>
        <w:rPr>
          <w:rFonts w:asciiTheme="minorEastAsia" w:hAnsiTheme="minorEastAsia"/>
          <w:b/>
          <w:sz w:val="24"/>
          <w:szCs w:val="24"/>
        </w:rPr>
      </w:pPr>
      <w:r>
        <w:rPr>
          <w:rFonts w:hint="eastAsia" w:asciiTheme="minorEastAsia" w:hAnsiTheme="minorEastAsia"/>
          <w:b/>
          <w:sz w:val="24"/>
          <w:szCs w:val="24"/>
        </w:rPr>
        <w:t>四、申请批签发对样品的要求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（一）品种要求（</w:t>
      </w:r>
      <w:r>
        <w:rPr>
          <w:color w:val="0000FF"/>
          <w:u w:val="single"/>
        </w:rPr>
        <w:fldChar w:fldCharType="begin"/>
      </w:r>
      <w:r>
        <w:rPr>
          <w:color w:val="0000FF"/>
          <w:u w:val="single"/>
        </w:rPr>
        <w:instrText xml:space="preserve"> HYPERLINK "https://hubyjs.org.cn/upload/20230802/64c9bddc2b064.pdf" </w:instrText>
      </w:r>
      <w:r>
        <w:rPr>
          <w:color w:val="0000FF"/>
          <w:u w:val="single"/>
        </w:rPr>
        <w:fldChar w:fldCharType="separate"/>
      </w:r>
      <w:r>
        <w:rPr>
          <w:rStyle w:val="10"/>
        </w:rPr>
        <w:t>品种目录</w:t>
      </w:r>
      <w:r>
        <w:rPr>
          <w:color w:val="0000FF"/>
          <w:u w:val="single"/>
        </w:rPr>
        <w:fldChar w:fldCharType="end"/>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（二）数量要求（</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"https://hubyjs.org.cn/upload/20230802/64c9bdaa3db0b.pdf" </w:instrText>
      </w:r>
      <w:r>
        <w:rPr>
          <w:rFonts w:hint="eastAsia" w:asciiTheme="minorEastAsia" w:hAnsiTheme="minorEastAsia"/>
          <w:sz w:val="24"/>
          <w:szCs w:val="24"/>
        </w:rPr>
        <w:fldChar w:fldCharType="separate"/>
      </w:r>
      <w:r>
        <w:rPr>
          <w:rStyle w:val="10"/>
          <w:rFonts w:hint="eastAsia" w:asciiTheme="minorEastAsia" w:hAnsiTheme="minorEastAsia"/>
          <w:sz w:val="24"/>
          <w:szCs w:val="24"/>
        </w:rPr>
        <w:t>疫苗、血液类抽样数量</w:t>
      </w:r>
      <w:r>
        <w:rPr>
          <w:rFonts w:hint="eastAsia" w:asciiTheme="minorEastAsia" w:hAnsiTheme="minorEastAsia"/>
          <w:sz w:val="24"/>
          <w:szCs w:val="24"/>
        </w:rPr>
        <w:fldChar w:fldCharType="end"/>
      </w:r>
      <w:bookmarkStart w:id="0" w:name="_GoBack"/>
      <w:bookmarkEnd w:id="0"/>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特殊情况下经中检院事先确认，可酌情减量，但不得少于检验用两倍量。资料审核应提供一个包装单位的样品。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（三）样品状态要求：样品应包装完整，有完整标签，标签内容应符合国家局标签说明书相关文件规定。特殊情况，应符合有关规定。抽样样品应封签完整无损，签名或盖章清晰可辨。</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（四）样品效期要求：样品剩余效期一般应满足2个检验周期，除特殊情况外(如进行稳定性考察等)，已过效期或效期内不能满足2个检验周期的样品不予受理。</w:t>
      </w:r>
    </w:p>
    <w:p>
      <w:pPr>
        <w:widowControl/>
        <w:shd w:val="clear" w:color="auto" w:fill="FFFFFF"/>
        <w:spacing w:line="360" w:lineRule="auto"/>
        <w:jc w:val="left"/>
        <w:textAlignment w:val="baseline"/>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五、受理</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我院收到申请资料及样品后，应当立即核对，交接双方登记签字确认后，妥善保存。批签发申请人无法现场签字确认的，应当提前递交书面承诺。我院应当在5日内决定是否受理。同意受理的，出具批签发受理通知书；不予受理的，予以退回，发给不予受理通知书并说明理由。申请资料不齐全或者不符合规定形式的，我院应当在5日内一次性书面告知批签发申请人需要补正的全部内容及资料补正时限。逾期不告知的，自收到申请资料和样品之日起即为受理。批签发申请人收到补正资料通知后，应当在10日内补正资料，逾期未补正且无正当理由的，视为放弃申请，无需作出不予受理的决定。申请资料存在可以当场更正的错误的，应当允许批签发申请人当场更正。未获我院受理的，不得更换其他批签发机构再次申请。</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对于国家疾病防控应急需要的生物制品，经国家药品监督管理局批准，企业在完成生产后即可向我院申请同步批签发。在我院作出批签发合格结论前，批签发申请人应当将批签发申请资料补充完整并提交我院。</w:t>
      </w:r>
    </w:p>
    <w:p>
      <w:pPr>
        <w:widowControl/>
        <w:shd w:val="clear" w:color="auto" w:fill="FFFFFF"/>
        <w:spacing w:line="360" w:lineRule="auto"/>
        <w:jc w:val="left"/>
        <w:textAlignment w:val="baseline"/>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六、检验</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我院应在规定的工作时限内完成批签发工作。批签发申请人补正资料的时间、现场核实、现场检查和技术评估时间不计入批签发工作时限。</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疫苗类产品在30日内完成协检项目检验工作，血液制品和用于血源筛查的体外诊断试剂在35日内完成批签发。</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需要复试的，批签发工作时限可延长该检验项目的两个检验周期，并告知批签发申请人。因品种特性及检验项目原因确需延长批签发时限的，经中检院审核确定后予以公开。</w:t>
      </w:r>
    </w:p>
    <w:p>
      <w:pPr>
        <w:widowControl/>
        <w:shd w:val="clear" w:color="auto" w:fill="FFFFFF"/>
        <w:spacing w:line="360" w:lineRule="auto"/>
        <w:jc w:val="left"/>
        <w:textAlignment w:val="baseline"/>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五、签发</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我院根据资料审核、样品检验或者现场检查等结果作出批签发结论。符合要求的，签发生物制品批签发证明，加盖批签发专用章，发给批签发申请人。批签发机构签发的批签发电子证明与印制的批签发证明具有同等法律效力。按照批签发管理的生物制品在销售时，应当出具加盖企业印章的该批产品的生物制品批签发证明复印件或者电子文件。</w:t>
      </w:r>
    </w:p>
    <w:p>
      <w:pPr>
        <w:widowControl/>
        <w:shd w:val="clear" w:color="auto" w:fill="FFFFFF"/>
        <w:spacing w:line="360" w:lineRule="auto"/>
        <w:jc w:val="left"/>
        <w:textAlignment w:val="baseline"/>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六、复审</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批签发申请人对生物制品不予批签发通知书有异议的，可以自收到生物制品不予批签发通知书之日起7日内，向我院或者直接向中检院提出复审申请。我院或者中检院应当在收到批签发申请人的复审申请之日起20日内作出是否复审的决定，复审内容仅限于原申请事项及原报送资料。需要复验的，其样品为我院保留的样品，其时限按规定执行。有下列情形之一的，不予复审：</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（一）不合格项目为无菌、热原（细菌内毒素）等药品监督管理部门规定不得复验的项目；</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（二）样品明显不均匀的；</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（三）样品有效期不能满足检验需求的；</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（四）批签发申请人书面承诺放弃复验的；</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（五）未在规定时限内提出复审申请的；</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（六）其他不宜进行复审的。</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复审维持原决定的，发给生物制品批签发复审结果通知书，不再受理批签发申请人再次提出的复审申请；复审改变原结论的，收回原生物制品不予批签发通知书，发给生物制品批签发证明。</w:t>
      </w:r>
    </w:p>
    <w:p>
      <w:pPr>
        <w:widowControl/>
        <w:shd w:val="clear" w:color="auto" w:fill="FFFFFF"/>
        <w:spacing w:line="360" w:lineRule="auto"/>
        <w:jc w:val="left"/>
        <w:textAlignment w:val="baseline"/>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七、信息公开</w:t>
      </w:r>
    </w:p>
    <w:p>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已通过批签发的，我院应在7日内公开</w:t>
      </w:r>
      <w:r>
        <w:rPr>
          <w:rFonts w:hint="eastAsia" w:asciiTheme="minorEastAsia" w:hAnsiTheme="minorEastAsia"/>
          <w:sz w:val="24"/>
          <w:szCs w:val="24"/>
        </w:rPr>
        <w:t>产品名称、批号、有效期至、生产企业、证书编号、签发结论、批签发机构、签发人、签发时间、收检编号、主管业务所等信息</w:t>
      </w:r>
      <w:r>
        <w:rPr>
          <w:rFonts w:hint="eastAsia" w:cs="宋体" w:asciiTheme="minorEastAsia" w:hAnsiTheme="minorEastAsia"/>
          <w:color w:val="333333"/>
          <w:kern w:val="0"/>
          <w:sz w:val="24"/>
          <w:szCs w:val="24"/>
        </w:rPr>
        <w:t>。</w:t>
      </w:r>
    </w:p>
    <w:p>
      <w:pPr>
        <w:spacing w:line="360" w:lineRule="auto"/>
        <w:jc w:val="left"/>
        <w:rPr>
          <w:rFonts w:asciiTheme="minorEastAsia" w:hAnsiTheme="minorEastAsia"/>
          <w:b/>
          <w:sz w:val="24"/>
          <w:szCs w:val="24"/>
        </w:rPr>
      </w:pPr>
      <w:r>
        <w:rPr>
          <w:rFonts w:hint="eastAsia" w:asciiTheme="minorEastAsia" w:hAnsiTheme="minorEastAsia"/>
          <w:b/>
          <w:sz w:val="24"/>
          <w:szCs w:val="24"/>
        </w:rPr>
        <w:t>八、批签发申请表下载</w:t>
      </w:r>
    </w:p>
    <w:p>
      <w:pPr>
        <w:spacing w:line="360" w:lineRule="auto"/>
        <w:ind w:firstLine="472" w:firstLineChars="196"/>
        <w:jc w:val="left"/>
        <w:rPr>
          <w:rFonts w:hint="eastAsia" w:asciiTheme="minorEastAsia" w:hAnsiTheme="minorEastAsia"/>
          <w:b/>
          <w:sz w:val="24"/>
          <w:szCs w:val="24"/>
        </w:rPr>
      </w:pPr>
      <w:r>
        <w:rPr>
          <w:rFonts w:hint="eastAsia" w:asciiTheme="minorEastAsia" w:hAnsiTheme="minorEastAsia"/>
          <w:b/>
          <w:sz w:val="24"/>
          <w:szCs w:val="24"/>
        </w:rPr>
        <w:t>（</w:t>
      </w:r>
      <w:r>
        <w:rPr>
          <w:rFonts w:hint="eastAsia"/>
        </w:rPr>
        <w:t>下载网址：</w:t>
      </w:r>
      <w:r>
        <w:fldChar w:fldCharType="begin"/>
      </w:r>
      <w:r>
        <w:instrText xml:space="preserve"> HYPERLINK "https://www.nifdc.org.cn/nifdc/xxgk/ggtzh/tongzhi/20221028141810326136.html" </w:instrText>
      </w:r>
      <w:r>
        <w:fldChar w:fldCharType="separate"/>
      </w:r>
      <w:r>
        <w:rPr>
          <w:rStyle w:val="10"/>
        </w:rPr>
        <w:t>https://www.nifdc.org.cn/nifdc/xxgk/ggtzh/tongzhi/20221028141810326136.html</w:t>
      </w:r>
      <w:r>
        <w:rPr>
          <w:rStyle w:val="10"/>
        </w:rPr>
        <w:fldChar w:fldCharType="end"/>
      </w:r>
      <w:r>
        <w:rPr>
          <w:rFonts w:hint="eastAsia" w:asciiTheme="minorEastAsia" w:hAnsiTheme="minorEastAsia"/>
          <w:b/>
          <w:sz w:val="24"/>
          <w:szCs w:val="24"/>
        </w:rPr>
        <w:t>）</w:t>
      </w:r>
    </w:p>
    <w:p>
      <w:pPr>
        <w:spacing w:line="360" w:lineRule="auto"/>
        <w:ind w:firstLine="472" w:firstLineChars="196"/>
        <w:jc w:val="left"/>
        <w:rPr>
          <w:rFonts w:asciiTheme="minorEastAsia" w:hAnsiTheme="minorEastAsia"/>
          <w:b/>
          <w:sz w:val="24"/>
          <w:szCs w:val="24"/>
        </w:rPr>
      </w:pPr>
    </w:p>
    <w:p>
      <w:pPr>
        <w:ind w:firstLine="470" w:firstLineChars="196"/>
      </w:pPr>
      <w:r>
        <w:rPr>
          <w:rFonts w:hint="eastAsia" w:asciiTheme="minorEastAsia" w:hAnsiTheme="minorEastAsia"/>
          <w:sz w:val="24"/>
          <w:szCs w:val="24"/>
        </w:rPr>
        <w:t>本“</w:t>
      </w:r>
      <w:r>
        <w:rPr>
          <w:rStyle w:val="14"/>
          <w:rFonts w:asciiTheme="minorEastAsia" w:hAnsiTheme="minorEastAsia"/>
          <w:b/>
          <w:sz w:val="24"/>
          <w:szCs w:val="24"/>
        </w:rPr>
        <w:t>生物制品批签发申请程序</w:t>
      </w:r>
      <w:r>
        <w:rPr>
          <w:rFonts w:hint="eastAsia" w:asciiTheme="minorEastAsia" w:hAnsiTheme="minorEastAsia"/>
          <w:sz w:val="24"/>
          <w:szCs w:val="24"/>
        </w:rPr>
        <w:t>”依据现行《生物制品批签发管理办法》等管理文件起草，当国家有关文件修订时，我院将适时修订本程序。本程序中与上位规章不适宜处，按国家有关规定执行。</w:t>
      </w:r>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MzNTM1MjI0ZTQ2Y2RmMzExMGU3MTFjYjQ3ZDEwMjgifQ=="/>
  </w:docVars>
  <w:rsids>
    <w:rsidRoot w:val="00304DAD"/>
    <w:rsid w:val="001B7915"/>
    <w:rsid w:val="001D7534"/>
    <w:rsid w:val="0024287B"/>
    <w:rsid w:val="002C6A93"/>
    <w:rsid w:val="002D3CEA"/>
    <w:rsid w:val="00304DAD"/>
    <w:rsid w:val="00355DB1"/>
    <w:rsid w:val="00374E98"/>
    <w:rsid w:val="003A4A93"/>
    <w:rsid w:val="003C40E1"/>
    <w:rsid w:val="003D2F7A"/>
    <w:rsid w:val="00565F2C"/>
    <w:rsid w:val="005A1F6F"/>
    <w:rsid w:val="006A60CD"/>
    <w:rsid w:val="00747604"/>
    <w:rsid w:val="00774514"/>
    <w:rsid w:val="008A507E"/>
    <w:rsid w:val="008E107F"/>
    <w:rsid w:val="00976701"/>
    <w:rsid w:val="009A588A"/>
    <w:rsid w:val="009B39F8"/>
    <w:rsid w:val="00B35482"/>
    <w:rsid w:val="00E07900"/>
    <w:rsid w:val="00E638FD"/>
    <w:rsid w:val="00EE2894"/>
    <w:rsid w:val="00EE6C70"/>
    <w:rsid w:val="76927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uiPriority w:val="99"/>
    <w:rPr>
      <w:color w:val="800080" w:themeColor="followedHyperlink"/>
      <w:u w:val="single"/>
    </w:rPr>
  </w:style>
  <w:style w:type="character" w:styleId="10">
    <w:name w:val="Hyperlink"/>
    <w:basedOn w:val="7"/>
    <w:unhideWhenUsed/>
    <w:uiPriority w:val="99"/>
    <w:rPr>
      <w:color w:val="0000FF"/>
      <w:u w:val="single"/>
    </w:rPr>
  </w:style>
  <w:style w:type="character" w:customStyle="1" w:styleId="11">
    <w:name w:val="页眉 Char"/>
    <w:basedOn w:val="7"/>
    <w:link w:val="4"/>
    <w:semiHidden/>
    <w:uiPriority w:val="99"/>
    <w:rPr>
      <w:sz w:val="18"/>
      <w:szCs w:val="18"/>
    </w:rPr>
  </w:style>
  <w:style w:type="character" w:customStyle="1" w:styleId="12">
    <w:name w:val="页脚 Char"/>
    <w:basedOn w:val="7"/>
    <w:link w:val="3"/>
    <w:semiHidden/>
    <w:uiPriority w:val="99"/>
    <w:rPr>
      <w:sz w:val="18"/>
      <w:szCs w:val="18"/>
    </w:rPr>
  </w:style>
  <w:style w:type="character" w:customStyle="1" w:styleId="13">
    <w:name w:val="批注框文本 Char"/>
    <w:basedOn w:val="7"/>
    <w:link w:val="2"/>
    <w:semiHidden/>
    <w:uiPriority w:val="99"/>
    <w:rPr>
      <w:sz w:val="18"/>
      <w:szCs w:val="18"/>
    </w:rPr>
  </w:style>
  <w:style w:type="character" w:customStyle="1" w:styleId="14">
    <w:name w:val="itemname"/>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2225</Words>
  <Characters>2304</Characters>
  <Lines>18</Lines>
  <Paragraphs>5</Paragraphs>
  <TotalTime>76</TotalTime>
  <ScaleCrop>false</ScaleCrop>
  <LinksUpToDate>false</LinksUpToDate>
  <CharactersWithSpaces>2304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2023-08-01T12:47:00Z</dcterms:created>
  <dc:creator>Administrator</dc:creator>
  <cp:lastModifiedBy>Administrator</cp:lastModifiedBy>
  <dcterms:modified xsi:type="dcterms:W3CDTF">2023-08-02T02:23:43Z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773652E56F6D42A3B8B2C569CCDBA2A3_12</vt:lpwstr>
  </property>
</Properties>
</file>